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51825">
      <w:pPr>
        <w:pStyle w:val="11"/>
        <w:bidi w:val="0"/>
        <w:spacing w:beforeAutospacing="0" w:afterAutospacing="0" w:line="500" w:lineRule="exact"/>
      </w:pPr>
    </w:p>
    <w:p w14:paraId="43709405">
      <w:pPr>
        <w:pStyle w:val="11"/>
        <w:bidi w:val="0"/>
        <w:spacing w:beforeAutospacing="0" w:afterAutospacing="0" w:line="500" w:lineRule="exact"/>
      </w:pPr>
    </w:p>
    <w:p w14:paraId="58AE2806">
      <w:pPr>
        <w:pStyle w:val="15"/>
        <w:widowControl/>
      </w:pPr>
      <mc:AlternateContent>
        <mc:Choice Requires="wpsCustomData">
          <wpsCustomData:docfieldStart id="0" docfieldname="标题_1" hidden="0" print="1" readonly="0" index="7"/>
        </mc:Choice>
      </mc:AlternateContent>
      <w:r>
        <w:t>关于征集2026年全国教育科学规划学科建设与研究生培养研究专项选题的启事</w:t>
      </w:r>
      <mc:AlternateContent>
        <mc:Choice Requires="wpsCustomData">
          <wpsCustomData:docfieldEnd id="0"/>
        </mc:Choice>
      </mc:AlternateContent>
    </w:p>
    <w:p w14:paraId="6A65401D">
      <w:pPr>
        <w:pStyle w:val="11"/>
        <w:bidi w:val="0"/>
        <w:spacing w:beforeAutospacing="0" w:afterAutospacing="0" w:line="360" w:lineRule="exact"/>
      </w:pPr>
    </w:p>
    <w:p w14:paraId="627A4591">
      <w:pPr>
        <w:pStyle w:val="19"/>
      </w:pPr>
      <mc:AlternateContent>
        <mc:Choice Requires="wpsCustomData">
          <wpsCustomData:docfieldStart id="1" docfieldname="主送机关_1" hidden="0" print="1" readonly="0" index="8"/>
        </mc:Choice>
      </mc:AlternateContent>
      <w:r>
        <w:t>各有关单位</w:t>
      </w:r>
      <mc:AlternateContent>
        <mc:Choice Requires="wpsCustomData">
          <wpsCustomData:docfieldEnd id="1"/>
        </mc:Choice>
      </mc:AlternateContent>
      <w:r>
        <w:t>：</w:t>
      </w:r>
    </w:p>
    <w:p w14:paraId="14863600">
      <w:pPr>
        <w:pStyle w:val="11"/>
      </w:pPr>
      <w:r>
        <w:t>全国教育科学规划学科建设与研究生培养研究专项（以下简称专项）由教育部学位管理与研究生教育司、教育部学位与研究生教育发展中心联合设立，为科学谋划、博采众智，切实提高2026年专项选题质量，做好专项课题指南编制工作，特公开征集选题建议。</w:t>
      </w:r>
    </w:p>
    <w:p w14:paraId="7886ADEC">
      <w:pPr>
        <w:rPr>
          <w:rFonts w:hint="eastAsia"/>
        </w:rPr>
      </w:pPr>
    </w:p>
    <w:p w14:paraId="12624F76">
      <w:pPr>
        <w:pStyle w:val="2"/>
        <w:numPr>
          <w:ilvl w:val="0"/>
          <w:numId w:val="1"/>
        </w:numPr>
        <w:topLinePunct w:val="0"/>
        <w:ind w:left="0" w:leftChars="0" w:firstLine="640" w:firstLineChars="0"/>
        <w:rPr>
          <w:b w:val="0"/>
        </w:rPr>
      </w:pPr>
      <w:r>
        <w:t>征集要求</w:t>
      </w:r>
    </w:p>
    <w:p w14:paraId="114392C8">
      <w:pPr>
        <w:pStyle w:val="11"/>
      </w:pPr>
      <w:r>
        <w:t>选题建议要以习近平新时代中国特色社会主义思想为指导，深入贯彻落实党的二十届四中全会和全国教育大会精神、《教育强国建设规划纲要（2024—2035年）》及三年行动计划部署，前瞻谋划“十五五”教育科研目标任务，立足教育强国，聚焦学科建设与研究生培养，突出问题导向，体现学术引领。选题名称应科学、严谨、规范、简洁。每个选题建议参照示例进行简要说明。凡与2025年已立项的内容相同或相近的选题不再推荐（2025年专项立项选题见附件1）。对于所有征集到的建议，征集方拥有使用权、改编权。在形成官方指南时，可能对建议进行整合、修改与完善。</w:t>
      </w:r>
    </w:p>
    <w:p w14:paraId="3598B31B">
      <w:pPr>
        <w:pStyle w:val="2"/>
        <w:numPr>
          <w:ilvl w:val="0"/>
          <w:numId w:val="1"/>
        </w:numPr>
        <w:topLinePunct w:val="0"/>
        <w:ind w:left="0" w:leftChars="0" w:firstLine="640" w:firstLineChars="0"/>
        <w:rPr>
          <w:b w:val="0"/>
        </w:rPr>
      </w:pPr>
      <w:r>
        <w:t>征集方式</w:t>
      </w:r>
    </w:p>
    <w:p w14:paraId="7C111473">
      <w:pPr>
        <w:pStyle w:val="11"/>
      </w:pPr>
      <w:r>
        <w:t>本次征集仅通过电子方式进行，选题推荐数量不限（推荐表见附件2），请各单位科研秘书在1月2</w:t>
      </w:r>
      <w:r>
        <w:rPr>
          <w:rFonts w:hint="eastAsia"/>
          <w:lang w:val="en-US" w:eastAsia="zh-CN"/>
        </w:rPr>
        <w:t>2</w:t>
      </w:r>
      <w:r>
        <w:t>日前将推荐表发送至社科处杨斌OA。</w:t>
      </w:r>
    </w:p>
    <w:p w14:paraId="342120B7">
      <w:pPr>
        <w:rPr>
          <w:rFonts w:hint="eastAsia"/>
        </w:rPr>
      </w:pPr>
    </w:p>
    <w:p w14:paraId="32E18AF6">
      <w:pPr>
        <w:rPr>
          <w:rFonts w:hint="eastAsia"/>
        </w:rPr>
      </w:pPr>
    </w:p>
    <w:p w14:paraId="560A5EAB">
      <w:pPr>
        <w:pStyle w:val="11"/>
      </w:pPr>
      <w:r>
        <w:t>联  系 人：杨斌 88122930、15279107183</w:t>
      </w:r>
    </w:p>
    <w:p w14:paraId="67EACFF1">
      <w:pPr>
        <w:rPr>
          <w:rFonts w:hint="eastAsia"/>
        </w:rPr>
      </w:pPr>
    </w:p>
    <w:p w14:paraId="4A1D6801">
      <w:pPr>
        <w:rPr>
          <w:rFonts w:hint="eastAsia"/>
        </w:rPr>
      </w:pPr>
    </w:p>
    <w:p w14:paraId="1B1F55A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5397" w:leftChars="0" w:right="2502" w:rightChars="0" w:firstLine="0" w:firstLineChars="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  <mc:AlternateContent>
        <mc:Choice Requires="wpsCustomData">
          <wpsCustomData:docfieldStart id="2" docfieldname="发文机关署名_1" hidden="0" print="1" readonly="0" index="170"/>
        </mc:Choice>
      </mc:AlternateContent>
      <w:bookmarkStart w:id="0" w:name="_IssueUnitSignatures1"/>
      <w:r>
        <w:rPr>
          <w:rFonts w:hint="eastAsia"/>
          <w:kern w:val="0"/>
          <w:sz w:val="32"/>
          <w:szCs w:val="32"/>
          <w:lang w:val="en-US" w:eastAsia="zh-CN"/>
        </w:rPr>
        <w:t>社科处</w:t>
      </w:r>
      <w:bookmarkEnd w:id="0"/>
      <mc:AlternateContent>
        <mc:Choice Requires="wpsCustomData">
          <wpsCustomData:docfieldEnd id="2"/>
        </mc:Choice>
      </mc:AlternateContent>
    </w:p>
    <w:p w14:paraId="58F47792">
      <w:pPr>
        <w:pStyle w:val="11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420" w:rightChars="200" w:firstLine="0" w:firstLineChars="0"/>
        <w:jc w:val="right"/>
        <w:textAlignment w:val="auto"/>
        <w:rPr>
          <w:rFonts w:hint="default"/>
          <w:sz w:val="32"/>
          <w:szCs w:val="32"/>
          <w:lang w:val="en-US" w:eastAsia="zh-CN"/>
        </w:rPr>
      </w:pPr>
      <w:bookmarkStart w:id="1" w:name="_IssueDate"/>
      <mc:AlternateContent>
        <mc:Choice Requires="wpsCustomData">
          <wpsCustomData:docfieldStart id="3" docfieldname="成文日期_1" hidden="0" print="1" readonly="0" index="190"/>
        </mc:Choice>
      </mc:AlternateContent>
      <w:r>
        <w:rPr>
          <w:rFonts w:hint="eastAsia"/>
          <w:sz w:val="32"/>
          <w:szCs w:val="32"/>
          <w:lang w:val="en-US" w:eastAsia="zh-CN"/>
        </w:rPr>
        <w:t>2026年1月19</w:t>
      </w:r>
      <w:bookmarkStart w:id="2" w:name="_GoBack"/>
      <w:bookmarkEnd w:id="2"/>
      <w:r>
        <w:rPr>
          <w:rFonts w:hint="eastAsia"/>
          <w:sz w:val="32"/>
          <w:szCs w:val="32"/>
          <w:lang w:val="en-US" w:eastAsia="zh-CN"/>
        </w:rPr>
        <w:t>日</w:t>
      </w:r>
      <w:bookmarkEnd w:id="1"/>
      <w:r>
        <w:rPr>
          <w:rFonts w:hint="eastAsia"/>
          <w:sz w:val="32"/>
          <w:szCs w:val="32"/>
          <w:lang w:val="en-US" w:eastAsia="zh-CN"/>
        </w:rPr>
        <w:t xml:space="preserve">        </w:t>
      </w:r>
      <mc:AlternateContent>
        <mc:Choice Requires="wpsCustomData">
          <wpsCustomData:docfieldEnd id="3"/>
        </mc:Choice>
      </mc:AlternateContent>
    </w:p>
    <w:p w14:paraId="01BFC2FD">
      <w:pPr>
        <w:pStyle w:val="11"/>
        <w:rPr>
          <w:rFonts w:ascii="仿宋_GB2312" w:hAnsi="仿宋_GB2312" w:eastAsia="仿宋_GB2312" w:cs="Times New Roman"/>
          <w:sz w:val="32"/>
        </w:rPr>
      </w:pPr>
    </w:p>
    <w:p w14:paraId="62D59598">
      <w:pPr>
        <w:pStyle w:val="11"/>
        <w:rPr>
          <w:rFonts w:hint="eastAsia" w:ascii="仿宋_GB2312" w:hAnsi="仿宋_GB2312" w:eastAsia="仿宋_GB2312" w:cs="Times New Roman"/>
          <w:sz w:val="32"/>
          <w:lang w:eastAsia="zh-CN"/>
        </w:rPr>
      </w:pPr>
    </w:p>
    <w:p w14:paraId="7D29FEFD">
      <w:pPr>
        <w:pStyle w:val="11"/>
        <w:rPr>
          <w:rFonts w:hint="eastAsia" w:ascii="仿宋_GB2312" w:hAnsi="仿宋_GB2312" w:eastAsia="仿宋_GB2312" w:cs="Times New Roman"/>
          <w:sz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1962" w:right="1474" w:bottom="1848" w:left="1587" w:header="851" w:footer="1049" w:gutter="0"/>
      <w:pgNumType w:fmt="decimal"/>
      <w:cols w:space="425" w:num="1"/>
      <w:docGrid w:type="linesAndChars" w:linePitch="592" w:charSpace="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WZT-EN">
    <w:panose1 w:val="02020400000000000000"/>
    <w:charset w:val="00"/>
    <w:family w:val="auto"/>
    <w:pitch w:val="default"/>
    <w:sig w:usb0="A00002BF" w:usb1="38CF7CFA" w:usb2="00082016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B9FFC">
    <w:pPr>
      <w:pStyle w:val="12"/>
      <w:spacing w:line="471" w:lineRule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71755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D87455">
                          <w:pPr>
                            <w:pStyle w:val="12"/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</w:pP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4"/>
                            </w:rPr>
                            <w:t>　</w:t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t>1</w:t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4"/>
                            </w:rPr>
                            <w:t>　</w:t>
                          </w:r>
                          <w:r>
                            <w:rPr>
                              <w:rFonts w:hint="default" w:ascii="GWZT-EN" w:hAnsi="GWZT-EN" w:eastAsia="GWZT-EN" w:cs="GWZT-EN"/>
                              <w:b w:val="0"/>
                              <w:bCs w:val="0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1625" tIns="0" rIns="201625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5.6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N1ZtjWAAAABwEAAA8AAAAAAAAAAQAgAAAAIgAAAGRycy9kb3ducmV2&#10;LnhtbFBLAQIUABQAAAAIAIdO4kCgZlFsNwIAAGsEAAAOAAAAAAAAAAEAIAAAACU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15.8759842519685pt,0mm,15.8759842519685pt,0mm" style="mso-fit-shape-to-text:t;">
                <w:txbxContent>
                  <w:p w14:paraId="41D87455">
                    <w:pPr>
                      <w:pStyle w:val="12"/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</w:pP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t>—</w:t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4"/>
                      </w:rPr>
                      <w:t>　</w:t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fldChar w:fldCharType="begin"/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fldChar w:fldCharType="separate"/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t>1</w:t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fldChar w:fldCharType="end"/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4"/>
                      </w:rPr>
                      <w:t>　</w:t>
                    </w:r>
                    <w:r>
                      <w:rPr>
                        <w:rFonts w:hint="default" w:ascii="GWZT-EN" w:hAnsi="GWZT-EN" w:eastAsia="GWZT-EN" w:cs="GWZT-EN"/>
                        <w:b w:val="0"/>
                        <w:bCs w:val="0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6E861"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78CC84"/>
    <w:multiLevelType w:val="singleLevel"/>
    <w:tmpl w:val="CD78CC84"/>
    <w:lvl w:ilvl="0" w:tentative="0">
      <w:start w:val="1"/>
      <w:numFmt w:val="taiwaneseCounting"/>
      <w:suff w:val="nothing"/>
      <w:lvlText w:val="%1、"/>
      <w:lvlJc w:val="left"/>
      <w:pPr>
        <w:ind w:left="0" w:firstLine="6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22609"/>
    <w:rsid w:val="2E8521B5"/>
    <w:rsid w:val="30720CF8"/>
    <w:rsid w:val="37BB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mc:AlternateContent>
    <mc:Choice Requires="wpsCustomData">
      <wpsCustomData:officialmode val="1"/>
    </mc:Choice>
  </mc:AlternateConten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0"/>
    </w:pPr>
    <w:rPr>
      <w:rFonts w:ascii="黑体" w:hAnsi="黑体" w:eastAsia="黑体" w:cs="Times New Roman"/>
      <w:kern w:val="44"/>
      <w:sz w:val="32"/>
      <w:szCs w:val="32"/>
    </w:rPr>
  </w:style>
  <w:style w:type="paragraph" w:styleId="3">
    <w:name w:val="heading 2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1"/>
    </w:pPr>
    <w:rPr>
      <w:rFonts w:ascii="楷体_GB2312" w:hAnsi="楷体_GB2312" w:eastAsia="楷体_GB2312" w:cs="Times New Roman"/>
      <w:sz w:val="32"/>
      <w:szCs w:val="32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2"/>
    </w:pPr>
    <w:rPr>
      <w:rFonts w:ascii="仿宋_GB2312" w:hAnsi="仿宋_GB2312" w:eastAsia="仿宋_GB2312" w:cs="Times New Roman"/>
      <w:sz w:val="32"/>
      <w:szCs w:val="32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3"/>
    </w:pPr>
    <w:rPr>
      <w:rFonts w:ascii="仿宋_GB2312" w:hAnsi="仿宋_GB2312" w:eastAsia="仿宋_GB2312" w:cs="Times New Roman"/>
      <w:sz w:val="32"/>
      <w:szCs w:val="32"/>
    </w:rPr>
  </w:style>
  <w:style w:type="paragraph" w:styleId="6">
    <w:name w:val="heading 5"/>
    <w:next w:val="1"/>
    <w:semiHidden/>
    <w:unhideWhenUsed/>
    <w:qFormat/>
    <w:uiPriority w:val="0"/>
    <w:pPr>
      <w:spacing w:line="560" w:lineRule="exact"/>
      <w:ind w:firstLine="894" w:firstLineChars="200"/>
      <w:outlineLvl w:val="4"/>
    </w:pPr>
    <w:rPr>
      <w:rFonts w:ascii="仿宋_GB2312" w:hAnsi="仿宋_GB2312" w:eastAsia="仿宋_GB2312" w:cs="Times New Roman"/>
      <w:sz w:val="32"/>
      <w:szCs w:val="32"/>
    </w:rPr>
  </w:style>
  <w:style w:type="paragraph" w:styleId="7">
    <w:name w:val="heading 6"/>
    <w:next w:val="1"/>
    <w:semiHidden/>
    <w:unhideWhenUsed/>
    <w:qFormat/>
    <w:uiPriority w:val="0"/>
    <w:pPr>
      <w:spacing w:line="560" w:lineRule="exact"/>
      <w:ind w:firstLine="894" w:firstLineChars="200"/>
      <w:outlineLvl w:val="5"/>
    </w:pPr>
    <w:rPr>
      <w:rFonts w:ascii="仿宋_GB2312" w:hAnsi="仿宋_GB2312" w:eastAsia="仿宋_GB2312" w:cs="Times New Roman"/>
      <w:sz w:val="32"/>
      <w:szCs w:val="32"/>
    </w:rPr>
  </w:style>
  <w:style w:type="paragraph" w:styleId="8">
    <w:name w:val="heading 7"/>
    <w:next w:val="1"/>
    <w:semiHidden/>
    <w:unhideWhenUsed/>
    <w:qFormat/>
    <w:uiPriority w:val="0"/>
    <w:pPr>
      <w:spacing w:line="560" w:lineRule="exact"/>
      <w:ind w:firstLine="894" w:firstLineChars="200"/>
      <w:outlineLvl w:val="6"/>
    </w:pPr>
    <w:rPr>
      <w:rFonts w:ascii="仿宋_GB2312" w:hAnsi="仿宋_GB2312" w:eastAsia="仿宋_GB2312" w:cs="Times New Roman"/>
      <w:sz w:val="32"/>
      <w:szCs w:val="32"/>
    </w:rPr>
  </w:style>
  <w:style w:type="paragraph" w:styleId="9">
    <w:name w:val="heading 8"/>
    <w:next w:val="1"/>
    <w:semiHidden/>
    <w:unhideWhenUsed/>
    <w:qFormat/>
    <w:uiPriority w:val="0"/>
    <w:pPr>
      <w:spacing w:line="560" w:lineRule="exact"/>
      <w:ind w:firstLine="894" w:firstLineChars="200"/>
      <w:outlineLvl w:val="7"/>
    </w:pPr>
    <w:rPr>
      <w:rFonts w:ascii="仿宋_GB2312" w:hAnsi="仿宋_GB2312" w:eastAsia="仿宋_GB2312" w:cs="Times New Roman"/>
      <w:sz w:val="32"/>
      <w:szCs w:val="32"/>
    </w:rPr>
  </w:style>
  <w:style w:type="paragraph" w:styleId="10">
    <w:name w:val="heading 9"/>
    <w:next w:val="1"/>
    <w:semiHidden/>
    <w:unhideWhenUsed/>
    <w:qFormat/>
    <w:uiPriority w:val="0"/>
    <w:pPr>
      <w:spacing w:line="560" w:lineRule="exact"/>
      <w:ind w:firstLine="894" w:firstLineChars="200"/>
      <w:outlineLvl w:val="8"/>
    </w:pPr>
    <w:rPr>
      <w:rFonts w:ascii="仿宋_GB2312" w:hAnsi="仿宋_GB2312" w:eastAsia="仿宋_GB2312" w:cs="Times New Roman"/>
      <w:sz w:val="32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spacing w:line="560" w:lineRule="exact"/>
      <w:ind w:firstLine="628" w:firstLineChars="200"/>
    </w:pPr>
    <w:rPr>
      <w:rFonts w:ascii="仿宋_GB2312" w:hAnsi="仿宋_GB2312" w:eastAsia="仿宋_GB2312" w:cs="Times New Roman"/>
      <w:spacing w:val="-6"/>
      <w:sz w:val="32"/>
    </w:r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spacing w:beforeLines="0" w:beforeAutospacing="0" w:afterLines="0" w:afterAutospacing="0" w:line="560" w:lineRule="exact"/>
      <w:jc w:val="center"/>
      <w:outlineLvl w:val="1"/>
    </w:pPr>
    <w:rPr>
      <w:rFonts w:ascii="楷体_GB2312" w:hAnsi="楷体_GB2312" w:eastAsia="楷体_GB2312" w:cs="Times New Roman"/>
      <w:kern w:val="28"/>
      <w:sz w:val="32"/>
      <w:szCs w:val="32"/>
    </w:rPr>
  </w:style>
  <w:style w:type="paragraph" w:styleId="15">
    <w:name w:val="Title"/>
    <w:qFormat/>
    <w:uiPriority w:val="0"/>
    <w:pPr>
      <w:spacing w:line="720" w:lineRule="exact"/>
      <w:jc w:val="center"/>
      <w:outlineLvl w:val="0"/>
    </w:pPr>
    <w:rPr>
      <w:rFonts w:ascii="方正小标宋简体" w:hAnsi="方正小标宋简体" w:eastAsia="方正小标宋简体" w:cs="Times New Roman"/>
      <w:sz w:val="44"/>
      <w:szCs w:val="44"/>
    </w:rPr>
  </w:style>
  <w:style w:type="character" w:styleId="18">
    <w:name w:val="Hyperlink"/>
    <w:basedOn w:val="17"/>
    <w:qFormat/>
    <w:uiPriority w:val="0"/>
    <w:rPr>
      <w:color w:val="0000FF"/>
      <w:u w:val="single"/>
    </w:rPr>
  </w:style>
  <w:style w:type="paragraph" w:customStyle="1" w:styleId="19">
    <w:name w:val="主送对象"/>
    <w:next w:val="1"/>
    <w:qFormat/>
    <w:uiPriority w:val="0"/>
    <w:pPr>
      <w:spacing w:line="560" w:lineRule="exact"/>
    </w:pPr>
    <w:rPr>
      <w:rFonts w:ascii="仿宋_GB2312" w:hAnsi="仿宋_GB2312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530</Characters>
  <Lines>0</Lines>
  <Paragraphs>0</Paragraphs>
  <TotalTime>12</TotalTime>
  <ScaleCrop>false</ScaleCrop>
  <LinksUpToDate>false</LinksUpToDate>
  <CharactersWithSpaces>542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2026-01-18T11:03:00Z</dcterms:created>
  <dc:creator>Cx224</dc:creator>
  <cp:lastModifiedBy>杨斌</cp:lastModifiedBy>
  <dcterms:modified xsi:type="dcterms:W3CDTF">2026-01-19T07:50:29Z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eyJoZGlkIjoiZTVmNDRiZmJiNmUxMTZmYjZkODAyOTk0YTc3NGZiYWMiLCJ1c2VySWQiOiIxNjU5NTY4MTEwIn0=</vt:lpwstr>
  </property>
  <property fmtid="{D5CDD505-2E9C-101B-9397-08002B2CF9AE}" pid="4" name="ICV">
    <vt:lpwstr>1A96696910134B61A3FCEACDB1A07596_12</vt:lpwstr>
  </property>
</Properties>
</file>